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D2EC0" w:rsidRDefault="002D2EC0" w:rsidP="002D2EC0">
      <w:pPr>
        <w:spacing w:after="0" w:line="240" w:lineRule="auto"/>
        <w:ind w:firstLine="709"/>
        <w:jc w:val="right"/>
      </w:pPr>
      <w:r>
        <w:fldChar w:fldCharType="begin"/>
      </w:r>
      <w:r>
        <w:instrText xml:space="preserve"> HYPERLINK "https://rosmintrud.ru/ministry/programms/anticorruption/9/5" </w:instrText>
      </w:r>
      <w:r>
        <w:fldChar w:fldCharType="separate"/>
      </w:r>
      <w:r>
        <w:rPr>
          <w:rStyle w:val="aa"/>
        </w:rPr>
        <w:t>https://rosmintrud.ru/ministry/programms/anticorruption/9/5</w:t>
      </w:r>
      <w:r>
        <w:fldChar w:fldCharType="end"/>
      </w:r>
    </w:p>
    <w:p w:rsidR="0074093A" w:rsidRDefault="0074093A" w:rsidP="002D2EC0">
      <w:pPr>
        <w:spacing w:after="0" w:line="240" w:lineRule="auto"/>
        <w:ind w:firstLine="709"/>
        <w:jc w:val="right"/>
        <w:rPr>
          <w:rFonts w:ascii="Times New Roman" w:hAnsi="Times New Roman" w:cs="Times New Roman"/>
          <w:b/>
          <w:sz w:val="28"/>
          <w:szCs w:val="28"/>
        </w:rPr>
      </w:pPr>
    </w:p>
    <w:p w:rsidR="00F834E7" w:rsidRDefault="00A26908" w:rsidP="00F91A91">
      <w:pPr>
        <w:spacing w:after="0" w:line="240" w:lineRule="auto"/>
        <w:ind w:firstLine="709"/>
        <w:jc w:val="center"/>
        <w:rPr>
          <w:rFonts w:ascii="Times New Roman" w:hAnsi="Times New Roman" w:cs="Times New Roman"/>
          <w:b/>
          <w:sz w:val="28"/>
          <w:szCs w:val="28"/>
        </w:rPr>
      </w:pPr>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подлежат отражению 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эскроу,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 xml:space="preserve">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w:t>
      </w:r>
      <w:r w:rsidRPr="002E1756">
        <w:rPr>
          <w:rFonts w:ascii="Times New Roman" w:hAnsi="Times New Roman" w:cs="Times New Roman"/>
          <w:sz w:val="28"/>
          <w:szCs w:val="28"/>
        </w:rPr>
        <w:lastRenderedPageBreak/>
        <w:t>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финансовые обязательства, участником которой в силу Федер</w:t>
      </w:r>
      <w:r w:rsidR="0003390A">
        <w:rPr>
          <w:rFonts w:ascii="Times New Roman" w:hAnsi="Times New Roman" w:cs="Times New Roman"/>
          <w:sz w:val="28"/>
          <w:szCs w:val="28"/>
        </w:rPr>
        <w:t>ального закона от 23 декабря 20</w:t>
      </w:r>
      <w:r w:rsidRPr="002E1756">
        <w:rPr>
          <w:rFonts w:ascii="Times New Roman" w:hAnsi="Times New Roman" w:cs="Times New Roman"/>
          <w:sz w:val="28"/>
          <w:szCs w:val="28"/>
        </w:rPr>
        <w:t xml:space="preserve">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908" w:rsidRDefault="00A26908" w:rsidP="00A26908">
      <w:pPr>
        <w:spacing w:after="0" w:line="240" w:lineRule="auto"/>
      </w:pPr>
      <w:r>
        <w:separator/>
      </w:r>
    </w:p>
  </w:endnote>
  <w:endnote w:type="continuationSeparator" w:id="0">
    <w:p w:rsidR="00A26908" w:rsidRDefault="00A26908" w:rsidP="00A2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908" w:rsidRDefault="00A26908" w:rsidP="00A26908">
      <w:pPr>
        <w:spacing w:after="0" w:line="240" w:lineRule="auto"/>
      </w:pPr>
      <w:r>
        <w:separator/>
      </w:r>
    </w:p>
  </w:footnote>
  <w:footnote w:type="continuationSeparator" w:id="0">
    <w:p w:rsidR="00A26908" w:rsidRDefault="00A26908" w:rsidP="00A2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584745">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00A26908"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AB7B91">
          <w:rPr>
            <w:rFonts w:ascii="Times New Roman" w:hAnsi="Times New Roman" w:cs="Times New Roman"/>
            <w:noProof/>
            <w:sz w:val="28"/>
          </w:rPr>
          <w:t>3</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A91"/>
    <w:rsid w:val="00030422"/>
    <w:rsid w:val="0003390A"/>
    <w:rsid w:val="001252D5"/>
    <w:rsid w:val="00127E5D"/>
    <w:rsid w:val="002326CA"/>
    <w:rsid w:val="0024051E"/>
    <w:rsid w:val="002504DD"/>
    <w:rsid w:val="002D2EC0"/>
    <w:rsid w:val="002E1756"/>
    <w:rsid w:val="00397AE6"/>
    <w:rsid w:val="003E7D23"/>
    <w:rsid w:val="004004FC"/>
    <w:rsid w:val="00423934"/>
    <w:rsid w:val="00462E67"/>
    <w:rsid w:val="00584745"/>
    <w:rsid w:val="005B1CB5"/>
    <w:rsid w:val="00613580"/>
    <w:rsid w:val="006D69D4"/>
    <w:rsid w:val="00730EBE"/>
    <w:rsid w:val="0074093A"/>
    <w:rsid w:val="00755AED"/>
    <w:rsid w:val="00952738"/>
    <w:rsid w:val="009A7B1E"/>
    <w:rsid w:val="00A01790"/>
    <w:rsid w:val="00A26908"/>
    <w:rsid w:val="00A32299"/>
    <w:rsid w:val="00A355BF"/>
    <w:rsid w:val="00A832E3"/>
    <w:rsid w:val="00AB7B91"/>
    <w:rsid w:val="00BC3678"/>
    <w:rsid w:val="00BF0EA6"/>
    <w:rsid w:val="00CC1DF0"/>
    <w:rsid w:val="00D3316F"/>
    <w:rsid w:val="00DE7DB7"/>
    <w:rsid w:val="00F834E7"/>
    <w:rsid w:val="00F91A91"/>
    <w:rsid w:val="00F92E00"/>
    <w:rsid w:val="00FA44F5"/>
    <w:rsid w:val="00FE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7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 w:type="character" w:styleId="aa">
    <w:name w:val="Hyperlink"/>
    <w:basedOn w:val="a0"/>
    <w:uiPriority w:val="99"/>
    <w:semiHidden/>
    <w:unhideWhenUsed/>
    <w:rsid w:val="002D2E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7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 w:type="character" w:styleId="aa">
    <w:name w:val="Hyperlink"/>
    <w:basedOn w:val="a0"/>
    <w:uiPriority w:val="99"/>
    <w:semiHidden/>
    <w:unhideWhenUsed/>
    <w:rsid w:val="002D2E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1197</Words>
  <Characters>6826</Characters>
  <Application>Microsoft Office Word</Application>
  <DocSecurity>4</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Ольга Юрьевна Потапова</cp:lastModifiedBy>
  <cp:revision>2</cp:revision>
  <cp:lastPrinted>2019-12-26T15:30:00Z</cp:lastPrinted>
  <dcterms:created xsi:type="dcterms:W3CDTF">2020-01-30T06:03:00Z</dcterms:created>
  <dcterms:modified xsi:type="dcterms:W3CDTF">2020-01-30T06:03:00Z</dcterms:modified>
</cp:coreProperties>
</file>